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EF" w:rsidRDefault="007C00EF" w:rsidP="001913E7">
      <w:pPr>
        <w:spacing w:before="40" w:after="40" w:line="276" w:lineRule="auto"/>
        <w:ind w:right="191"/>
        <w:jc w:val="center"/>
        <w:rPr>
          <w:b/>
          <w:sz w:val="28"/>
          <w:szCs w:val="28"/>
        </w:rPr>
      </w:pPr>
      <w:r>
        <w:rPr>
          <w:b/>
          <w:sz w:val="28"/>
          <w:szCs w:val="28"/>
        </w:rPr>
        <w:t>TIÊU CHÍ LỰA CHỌN TỔ CHỨC HÀNH NGHỀ ĐẤU GIÁ</w:t>
      </w:r>
    </w:p>
    <w:p w:rsidR="007C00EF" w:rsidRDefault="007C00EF" w:rsidP="001913E7">
      <w:pPr>
        <w:spacing w:before="40" w:after="40" w:line="276" w:lineRule="auto"/>
        <w:ind w:right="191"/>
        <w:jc w:val="center"/>
        <w:rPr>
          <w:i/>
          <w:sz w:val="28"/>
          <w:szCs w:val="28"/>
        </w:rPr>
      </w:pPr>
      <w:r w:rsidRPr="007C00EF">
        <w:rPr>
          <w:i/>
          <w:sz w:val="28"/>
          <w:szCs w:val="28"/>
        </w:rPr>
        <w:t>(Kèm theo Thông báo số 218/TB-STC ngày 26/6/2025 của Sở Tài chính</w:t>
      </w:r>
      <w:r>
        <w:rPr>
          <w:i/>
          <w:sz w:val="28"/>
          <w:szCs w:val="28"/>
        </w:rPr>
        <w:t xml:space="preserve"> tỉnh Tây Ninh</w:t>
      </w:r>
      <w:r w:rsidRPr="007C00EF">
        <w:rPr>
          <w:i/>
          <w:sz w:val="28"/>
          <w:szCs w:val="28"/>
        </w:rPr>
        <w:t>)</w:t>
      </w:r>
    </w:p>
    <w:p w:rsidR="001D75AF" w:rsidRDefault="001D75AF" w:rsidP="001913E7">
      <w:pPr>
        <w:pStyle w:val="NormalWeb"/>
        <w:shd w:val="clear" w:color="auto" w:fill="FFFFFF"/>
        <w:spacing w:before="45" w:beforeAutospacing="0" w:after="45" w:afterAutospacing="0"/>
        <w:ind w:right="191" w:firstLine="567"/>
        <w:jc w:val="both"/>
        <w:rPr>
          <w:rFonts w:ascii="Helvetica" w:hAnsi="Helvetica"/>
          <w:color w:val="333333"/>
          <w:sz w:val="21"/>
          <w:szCs w:val="21"/>
        </w:rPr>
      </w:pPr>
      <w:r>
        <w:rPr>
          <w:color w:val="333333"/>
          <w:sz w:val="28"/>
          <w:szCs w:val="28"/>
        </w:rPr>
        <w:t>Tổ chức hành nghề đấu giá tài sản đăng ký để được lựa chọn phải đảm bảo các yêu cầu theo Phụ lục I bảng tiêu chí đánh giá, chấm điểm tổ chức hành nghề đấu giá tài sản của </w:t>
      </w:r>
      <w:r>
        <w:rPr>
          <w:color w:val="333333"/>
          <w:sz w:val="28"/>
          <w:szCs w:val="28"/>
          <w:lang w:val="nl-NL"/>
        </w:rPr>
        <w:t>Thông tư số số 19/2024/TT-BTP ngày 31/12/2024 của Bộ Tư pháp về việc quy định chi tiết và hướng dẫn thi hành một số điều của Luật đấu giá tài sản số 01/2016/QH14 </w:t>
      </w:r>
      <w:r>
        <w:rPr>
          <w:color w:val="333333"/>
          <w:sz w:val="28"/>
          <w:szCs w:val="28"/>
        </w:rPr>
        <w:t>sửa đổi, bổ sung một số điều của Luật số 37/2024/QH15</w:t>
      </w:r>
      <w:r>
        <w:rPr>
          <w:color w:val="333333"/>
          <w:sz w:val="28"/>
          <w:szCs w:val="28"/>
          <w:lang w:val="nl-NL"/>
        </w:rPr>
        <w:t> như</w:t>
      </w:r>
      <w:r>
        <w:rPr>
          <w:color w:val="333333"/>
          <w:sz w:val="28"/>
          <w:szCs w:val="28"/>
        </w:rPr>
        <w:t> sau:</w:t>
      </w:r>
    </w:p>
    <w:p w:rsidR="001D75AF" w:rsidRDefault="001D75AF" w:rsidP="001D75AF">
      <w:pPr>
        <w:pStyle w:val="NormalWeb"/>
        <w:shd w:val="clear" w:color="auto" w:fill="FFFFFF"/>
        <w:spacing w:before="45" w:beforeAutospacing="0" w:after="45" w:afterAutospacing="0"/>
        <w:ind w:firstLine="567"/>
        <w:jc w:val="both"/>
        <w:rPr>
          <w:rFonts w:ascii="Helvetica" w:hAnsi="Helvetica"/>
          <w:color w:val="333333"/>
          <w:sz w:val="21"/>
          <w:szCs w:val="21"/>
        </w:rPr>
      </w:pPr>
      <w:r>
        <w:rPr>
          <w:rFonts w:ascii="Helvetica" w:hAnsi="Helvetica"/>
          <w:color w:val="333333"/>
          <w:sz w:val="21"/>
          <w:szCs w:val="21"/>
        </w:rPr>
        <w:t> </w:t>
      </w:r>
    </w:p>
    <w:tbl>
      <w:tblPr>
        <w:tblW w:w="9780"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1200"/>
        <w:gridCol w:w="7290"/>
        <w:gridCol w:w="1290"/>
      </w:tblGrid>
      <w:tr w:rsidR="001D75AF" w:rsidTr="001D75AF">
        <w:trPr>
          <w:trHeight w:val="630"/>
        </w:trPr>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TT</w:t>
            </w:r>
          </w:p>
        </w:tc>
        <w:tc>
          <w:tcPr>
            <w:tcW w:w="72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center"/>
              <w:rPr>
                <w:rFonts w:ascii="Helvetica" w:hAnsi="Helvetica"/>
                <w:color w:val="333333"/>
                <w:sz w:val="21"/>
                <w:szCs w:val="21"/>
              </w:rPr>
            </w:pPr>
            <w:bookmarkStart w:id="0" w:name="_GoBack"/>
            <w:bookmarkEnd w:id="0"/>
            <w:r>
              <w:rPr>
                <w:b/>
                <w:bCs/>
                <w:color w:val="333333"/>
                <w:sz w:val="28"/>
                <w:szCs w:val="28"/>
              </w:rPr>
              <w:t>NỘI DUNG</w:t>
            </w:r>
          </w:p>
        </w:tc>
        <w:tc>
          <w:tcPr>
            <w:tcW w:w="12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MỨC TỐI ĐA</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I</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b/>
                <w:bCs/>
                <w:color w:val="333333"/>
                <w:sz w:val="28"/>
                <w:szCs w:val="28"/>
              </w:rPr>
              <w:t>Có tên trong danh sách các tổ chức hành nghề đấu giá tài sản do Bộ Tư pháp công bố</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tên trong danh sách tổ chức hành nghề đấu giá tài sản do Bộ Tư pháp công bố</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Đủ điều kiện</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Không có tên trong danh sách tổ chức hành nghề đấu giá tài sản do Bộ Tư pháp công bố</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Không đủ điều kiện</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II</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b/>
                <w:bCs/>
                <w:color w:val="333333"/>
                <w:sz w:val="28"/>
                <w:szCs w:val="28"/>
              </w:rPr>
              <w:t>Cơ sở vật chất, trang thiết bị cần thiết bảo đảm cho việc đấu giá đối với loại tài sản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19,0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Cơ sở vật chất bảo đảm cho việc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địa chỉ trụ sở ổn định, rõ ràng (số điện thoại, địa chỉ thư điện tử...)</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Địa điểm bán, tiếp nhận hồ sơ tham gia đấu giá công khai, thuận tiện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Trang thiết bị cần thiết bảo đảm cho việc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hệ thống camera giám sát hoặc thiết bị ghi hình tại trụ sở tổ chức hành nghề đấu giá khi bán, tiếp nhận hồ sơ tham gia đấu giá (có thể được trích xuất, lưu theo hồ sơ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hệ thống camera giám sát hoặc thiết bị ghi hình tại nơi tổ chức phiên đấu giá ( được trích xuất, lưu theo hồ sơ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w:t>
            </w:r>
          </w:p>
        </w:tc>
        <w:tc>
          <w:tcPr>
            <w:tcW w:w="72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trang thông tin điện tử của tổ chức hành nghề đấu giá đang hoạt động ổn định, được cập nhật thường xuyên</w:t>
            </w:r>
          </w:p>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Đối với Trung tâm dịch vụ đấu giá tài sản thì dùng Trang thông tin điện tử độc lập hoặc Trang thông tin thuộc Cổng thông tin điện tử của Sở Tư pháp</w:t>
            </w:r>
          </w:p>
        </w:tc>
        <w:tc>
          <w:tcPr>
            <w:tcW w:w="12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Trang thông tin đấu giá trực tuyến được phê duyệt hoặc trong năm trước liền kề đã thực hiện ít nhất 01 cuộc đấu giá bằng hình thức trực tuyến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1,0</w:t>
            </w:r>
          </w:p>
        </w:tc>
      </w:tr>
      <w:tr w:rsidR="001D75AF" w:rsidTr="001D75AF">
        <w:trPr>
          <w:trHeight w:val="630"/>
        </w:trPr>
        <w:tc>
          <w:tcPr>
            <w:tcW w:w="1200"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w:t>
            </w:r>
          </w:p>
        </w:tc>
        <w:tc>
          <w:tcPr>
            <w:tcW w:w="72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nơi lưu trữ hồ sơ đấu giá</w:t>
            </w:r>
          </w:p>
        </w:tc>
        <w:tc>
          <w:tcPr>
            <w:tcW w:w="12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III</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b/>
                <w:bCs/>
                <w:color w:val="333333"/>
                <w:sz w:val="28"/>
                <w:szCs w:val="28"/>
              </w:rPr>
              <w:t>Phương án đấu giá khả thi, hiệu quả (Thuyết minh đầy đủ các nội dung trong phương án)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16,0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Phương án đấu giá đề xuất được hình thức đấu giá, bước giá, số vòng đấu giá có tính khả thi và hiệu quả cao</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Hình thức đấu giá khả thi, hiệu quả</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Bước giá, số vòng đấu giá khả thi, hiệu quả</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Phương án đấu giá đề xuất việc bán, tiếp nhận hồ sơ tham gia đấu giá công khai, khả thi, thuận tiện (địa điểm, phương thức bán, tiếp nhận hồ sơ)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Phương án đấu giá đề xuất được đối tượng và điều kiện tham gia đấu giá phù hợp với tài sản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Đối tượng theo đúng quy định của pháp luật</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Điều kiện tham gia đấu giá phù hợp với quy định pháp luật áp dụng đối với tài sản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Phương án đấu giá đề xuất giải pháp giám sát việc tổ chức đấu giá hiệu quả; chống thông đồng, dìm giá, bảo đảm an toàn, an ninh trật tự của phiên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IV</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b/>
                <w:bCs/>
                <w:color w:val="333333"/>
                <w:sz w:val="28"/>
                <w:szCs w:val="28"/>
              </w:rPr>
              <w:t>Năng lực, kinh nghiệm và uy tín của tổ chức hành nghề đấu giá tài sản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57,0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Tổng số cuộc đấu giá đã tổ chức trong năm trước liền kề (bao gồm cả cuộc đấu giá thành và cuộc đấu giá không thành). Chỉ chọn chấm điểm một trong các tiêu chí</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15,0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Dưới 20 cuộc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12,0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20 cuộc đấu giá đến dưới 40 cuộc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13,0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1.3</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40 cuộc đấu giá đến dưới 70 cuộc đấu giá</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14,0</w:t>
            </w:r>
          </w:p>
        </w:tc>
      </w:tr>
      <w:tr w:rsidR="001D75AF" w:rsidTr="001D75AF">
        <w:trPr>
          <w:trHeight w:val="630"/>
        </w:trPr>
        <w:tc>
          <w:tcPr>
            <w:tcW w:w="1200"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1.4</w:t>
            </w:r>
          </w:p>
        </w:tc>
        <w:tc>
          <w:tcPr>
            <w:tcW w:w="72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70 cuộc đấu giá trở lên</w:t>
            </w:r>
          </w:p>
        </w:tc>
        <w:tc>
          <w:tcPr>
            <w:tcW w:w="12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15,0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Tổng số cuộc đấu giá thành trong năm trước liền kề  (Chỉ chọn chấm điểm một trong các tiêu chí)</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2.1</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Dưới 10 cuộc đấu giá thành (bao gồm trường hợp không có cuộc đấu giá thành nào)</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2.2</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10 cuộc đấu giá thành đến dưới 30 cuộc đấu giá thành</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2.3</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30 cuộc đấu giá thành đến dưới 50 cuộc đấu giá thành</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6,0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2.4</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50 cuộc đấu giá thành trở lên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Tổng số cuộc đấu giá thành có chênh lệch giữa giá trúng so với giá khởi điểm trong năm trước liền kề (Người có tài sản không yêu cầu nộp hoặc cung cấp bản chính hoặc bản sao hợp đồng, quy chế cuộc đấu giá và các tài liệu có liên quan)</w:t>
            </w:r>
          </w:p>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Chỉ chọn chấm điểm một trong các tiêu chí</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3.1</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Dưới 10 cuộc (bao gồm cả trường hợp không có chênh lệch)</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3.2</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10 cuộc đến dưới 30 cuộc</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3.3</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30 cuộc đến dưới 50 cuộc</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6,0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3.4</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50 cuộc trở lên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Tổng số cuộc đấu giá thành trong năm trước liền kề có mức chênh lệch từ 10% trở lên (Người có tài sản đấu giá không yêu cầu nộp bản chính hoặc bản sao hợp đồng)</w:t>
            </w:r>
          </w:p>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Người có tài sản chấm điểm theo cách thức dưới đây. Trường hợp  kết quả điểm là số thập phân thì được làm tròn đến hàng phần trăm. Trường hợp số điểm của tổ chức hành nghề đấu giá tài sản dưới 1 điểm (bao gồm cả trường hợp 0 điểm) thì được tính là 1 điểm.</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4.1</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Tổ chức hành nghề đấu giả tài sản (A) có tổng số cuộc đấu giá thành trong năm trước liền kề có mức chênh lệch từ 10% trở lên nhiều nhất (Y cuộc) thì được tối đa 3 điểm</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4.2</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Tổ chức hành nghề đấu giá tài sản (B) có tổng số cuộc đấu giá thành trong năm trước liền kề có mức chênh lệch từ 10% trở lên thấp hơn liền kề (U cuộc) thì số điểm được tính theo công thức: Số điểm của B = (Ux3)/Y</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4.3</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Tổ chức hành nghề đấu giá tài sản (C) có tổng số cuộc đấu giá hành trong năm trước liền kề có mức chênh lệch từ 10% trở lên hấp hơn liền kề tiếp theo (V cuộc) thì số điểm được tính tương tự veo công thức nêu trên: Số điểm của C = (x3)/Y</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Chỉ chọn chấm điểm một trong các tiêu chí</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5.1</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thời gian hoạt động dưới 5 năm</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5.2</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thời gian hoạt động từ 05 năm đến dưới 10 năm</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5.3</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thời gian hoạt động từ 10 năm đến dưới 15 năm</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6,0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5.4</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thời gian hoạt động từ 15 năm trở lên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6.</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Số lượng đấu giá viên của tổ chức hành nghề đấu giá tài sản</w:t>
            </w:r>
          </w:p>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Chỉ chọn chấm điểm một trong các tiêu chí</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6.1</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01 đấu giá viên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6.2</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02 đến dưới 05 đấu giá viên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6.3</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05 đấu giá viên trở lên</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Pr="001D75AF" w:rsidRDefault="001D75AF" w:rsidP="001D75AF">
            <w:pPr>
              <w:pStyle w:val="NormalWeb"/>
              <w:spacing w:before="120" w:beforeAutospacing="0" w:after="0" w:afterAutospacing="0"/>
              <w:jc w:val="center"/>
              <w:rPr>
                <w:rFonts w:ascii="Helvetica" w:hAnsi="Helvetica"/>
                <w:sz w:val="21"/>
                <w:szCs w:val="21"/>
              </w:rPr>
            </w:pPr>
            <w:r w:rsidRPr="001D75AF">
              <w:rPr>
                <w:sz w:val="28"/>
                <w:szCs w:val="28"/>
              </w:rPr>
              <w:t>7.</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Pr="001D75AF" w:rsidRDefault="001D75AF">
            <w:pPr>
              <w:pStyle w:val="NormalWeb"/>
              <w:spacing w:before="120" w:beforeAutospacing="0" w:after="0" w:afterAutospacing="0"/>
              <w:jc w:val="both"/>
              <w:rPr>
                <w:rFonts w:ascii="Helvetica" w:hAnsi="Helvetica"/>
                <w:sz w:val="21"/>
                <w:szCs w:val="21"/>
              </w:rPr>
            </w:pPr>
            <w:r w:rsidRPr="001D75AF">
              <w:rPr>
                <w:sz w:val="28"/>
                <w:szCs w:val="28"/>
              </w:rPr>
              <w:t>Kinh nghiệm hành nghề của đấu giá viên là Giám đốc Trung tâm dịch vụ đấu giá tài sản, Tổng giám đốc hoặc Giám đốc của Công ty đấu giá hợp danh, Giám đốc doanh nghiệp tư nhân (Tính từ thời điểm được cấp Thẻ đấu giá viên theo Nghị định số </w:t>
            </w:r>
            <w:hyperlink r:id="rId4" w:tgtFrame="_blank" w:tooltip="Nghị định 05/2005/NĐ-CP" w:history="1">
              <w:r w:rsidRPr="001D75AF">
                <w:rPr>
                  <w:rStyle w:val="Hyperlink"/>
                  <w:color w:val="auto"/>
                  <w:sz w:val="28"/>
                  <w:szCs w:val="28"/>
                  <w:u w:val="none"/>
                </w:rPr>
                <w:t>05/2005/NĐ-CP</w:t>
              </w:r>
            </w:hyperlink>
            <w:r w:rsidRPr="001D75AF">
              <w:rPr>
                <w:sz w:val="28"/>
                <w:szCs w:val="28"/>
              </w:rPr>
              <w:t> ngày 18/01/2005 của Chính phủ về bán đấu giá tài sản hoặc đăng ký danh sách đấu giá viên tại Sở Tư pháp theo Nghị định số </w:t>
            </w:r>
            <w:hyperlink r:id="rId5" w:tgtFrame="_blank" w:tooltip="Nghị định 17/2010/NĐ-CP" w:history="1">
              <w:r w:rsidRPr="001D75AF">
                <w:rPr>
                  <w:rStyle w:val="Hyperlink"/>
                  <w:color w:val="auto"/>
                  <w:sz w:val="28"/>
                  <w:szCs w:val="28"/>
                  <w:u w:val="none"/>
                </w:rPr>
                <w:t>17/2010/NĐ-CP</w:t>
              </w:r>
            </w:hyperlink>
            <w:r w:rsidRPr="001D75AF">
              <w:rPr>
                <w:sz w:val="28"/>
                <w:szCs w:val="28"/>
              </w:rPr>
              <w:t> ngày 04/3/2010 của Chính phủ về bán đấu giá tài sản hoặc Thẻ đấu giá viên theo Luật Đấu giá tài sản hoặc thông tin về danh sách đấu giá viên trong Giấy đăng ký hoạt động của doanh nghiệp đấu giá tài sản theo Luật sửa đổi, bổ sung một số điều của Luật Đấu giá tài sản)</w:t>
            </w:r>
          </w:p>
          <w:p w:rsidR="001D75AF" w:rsidRPr="001D75AF" w:rsidRDefault="001D75AF">
            <w:pPr>
              <w:pStyle w:val="NormalWeb"/>
              <w:spacing w:before="120" w:beforeAutospacing="0" w:after="0" w:afterAutospacing="0"/>
              <w:jc w:val="both"/>
              <w:rPr>
                <w:rFonts w:ascii="Helvetica" w:hAnsi="Helvetica"/>
                <w:sz w:val="21"/>
                <w:szCs w:val="21"/>
              </w:rPr>
            </w:pPr>
            <w:r w:rsidRPr="001D75AF">
              <w:rPr>
                <w:sz w:val="28"/>
                <w:szCs w:val="28"/>
              </w:rPr>
              <w:t>Chỉ chọn chấm điểm một trong các tiêu chí</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7.1</w:t>
            </w:r>
          </w:p>
        </w:tc>
        <w:tc>
          <w:tcPr>
            <w:tcW w:w="72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Dưới 5 năm</w:t>
            </w:r>
          </w:p>
        </w:tc>
        <w:tc>
          <w:tcPr>
            <w:tcW w:w="12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05 năm đến dưới 10 năm</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7.3</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10 năm trở lên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8.</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Kinh nghiệm của đấu giá viên hành nghề</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8.1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Không có đấu giá viên có thời gian hành nghề từ 5 năm trở lên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8.2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từ 1 đến 3 đấu giá viên có thời gian hành nghề từ 5 năm trở lên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8.3</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Có từ 4 đấu giá viên trở lên có thời gian hành nghề từ 5 năm trở lên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9.</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Số thuế thu nhập doanh nghiệp hoặc khoản tiền nộp vào ngân sách Nhà nước Trung tâm Dịch vụ đấu giá tài sản trong năm trước liền kề, trừ thuế giá trị gia tăng (Số thuế thu nhập doanh nghiệp phải nộp theo Tờ khai quyết toán thuế thu nhập doanh nghiệp trong báo cáo tài chính và số thuế thực nộp được cơ quan thuế xác nhận bằng chứng từ điện tử; đối với Trung tâm dịch vụ đấu giá tài sản thì có văn bản về việc thực hiện nghĩa vụ thuế với ngân sách Nhà nước)</w:t>
            </w:r>
          </w:p>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Chỉ chọn chấm điểm một trong các tiêu chí</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9.1</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Dưới 50 triệu đồng</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9.2</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50 triệu đồng đến dưới 100 triệu đồng</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4,0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9.3</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Từ 100 triệu đồng trở lên</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5,0</w:t>
            </w:r>
          </w:p>
        </w:tc>
      </w:tr>
      <w:tr w:rsidR="001D75AF" w:rsidTr="001D75AF">
        <w:trPr>
          <w:trHeight w:val="630"/>
        </w:trPr>
        <w:tc>
          <w:tcPr>
            <w:tcW w:w="12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V</w:t>
            </w:r>
          </w:p>
        </w:tc>
        <w:tc>
          <w:tcPr>
            <w:tcW w:w="7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b/>
                <w:bCs/>
                <w:color w:val="333333"/>
                <w:sz w:val="28"/>
                <w:szCs w:val="28"/>
              </w:rPr>
              <w:t>Tiêu chí khác phù hợp với tài sản đấu giá do người có tài sản đấu giá quyết định </w:t>
            </w:r>
            <w:r>
              <w:rPr>
                <w:color w:val="333333"/>
                <w:sz w:val="28"/>
                <w:szCs w:val="28"/>
              </w:rPr>
              <w:t>(Người có tài sản có thể chọn hoặc không chọn tiêu chí tại mục này để đánh giá chấm điểm. Trường hợp chọn tiêu chí tại mục này thì người có tài sản chọn một hoặc nhiều tiêu chí sau đây nhưng số điểm không được vượt quá mức tối đa của từng tiêu chí và tổng số điểm không được vượt quá mức tối đa của mục này)</w:t>
            </w:r>
          </w:p>
        </w:tc>
        <w:tc>
          <w:tcPr>
            <w:tcW w:w="12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333333"/>
                <w:sz w:val="28"/>
                <w:szCs w:val="28"/>
              </w:rPr>
              <w:t>8,0</w:t>
            </w:r>
          </w:p>
        </w:tc>
      </w:tr>
      <w:tr w:rsidR="001D75AF" w:rsidTr="001D75AF">
        <w:trPr>
          <w:trHeight w:val="630"/>
        </w:trPr>
        <w:tc>
          <w:tcPr>
            <w:tcW w:w="1200"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1.</w:t>
            </w:r>
          </w:p>
        </w:tc>
        <w:tc>
          <w:tcPr>
            <w:tcW w:w="72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Đã từng ký hợp đồng dịch vụ đấu giá tài sản với người có tài sản đấu giá và đã tổ chức cuộc đấu giá thành theo hợp đồng đó</w:t>
            </w:r>
          </w:p>
        </w:tc>
        <w:tc>
          <w:tcPr>
            <w:tcW w:w="129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w:t>
            </w:r>
          </w:p>
        </w:tc>
        <w:tc>
          <w:tcPr>
            <w:tcW w:w="7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Là tổ chức hành nghề đấu giá chuyên nghiệp có trụ sở chính tại tỉnh Tây Ninh (Không bao gồm trụ sở chi nhánh)</w:t>
            </w:r>
          </w:p>
        </w:tc>
        <w:tc>
          <w:tcPr>
            <w:tcW w:w="129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3,0</w:t>
            </w:r>
          </w:p>
        </w:tc>
      </w:tr>
      <w:tr w:rsidR="001D75AF" w:rsidTr="001D75AF">
        <w:trPr>
          <w:trHeight w:val="630"/>
        </w:trPr>
        <w:tc>
          <w:tcPr>
            <w:tcW w:w="1200"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3.</w:t>
            </w:r>
          </w:p>
        </w:tc>
        <w:tc>
          <w:tcPr>
            <w:tcW w:w="72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pPr>
              <w:pStyle w:val="NormalWeb"/>
              <w:spacing w:before="120" w:beforeAutospacing="0" w:after="0" w:afterAutospacing="0"/>
              <w:jc w:val="both"/>
              <w:rPr>
                <w:rFonts w:ascii="Helvetica" w:hAnsi="Helvetica"/>
                <w:color w:val="333333"/>
                <w:sz w:val="21"/>
                <w:szCs w:val="21"/>
              </w:rPr>
            </w:pPr>
            <w:r>
              <w:rPr>
                <w:color w:val="333333"/>
                <w:sz w:val="28"/>
                <w:szCs w:val="28"/>
              </w:rPr>
              <w:t>Tiêu chí khác: Đã từng đấu giá tài sản là các loại cây gỗ rừng trồng (cây đứng) tại tỉnh Tây Ninh (có Hợp đồng kèm theo)</w:t>
            </w:r>
          </w:p>
        </w:tc>
        <w:tc>
          <w:tcPr>
            <w:tcW w:w="129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color w:val="333333"/>
                <w:sz w:val="28"/>
                <w:szCs w:val="28"/>
              </w:rPr>
              <w:t>2,0</w:t>
            </w:r>
          </w:p>
        </w:tc>
      </w:tr>
      <w:tr w:rsidR="001D75AF" w:rsidTr="001913E7">
        <w:trPr>
          <w:trHeight w:val="685"/>
        </w:trPr>
        <w:tc>
          <w:tcPr>
            <w:tcW w:w="8490"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105" w:type="dxa"/>
              <w:bottom w:w="3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000000"/>
                <w:sz w:val="28"/>
                <w:szCs w:val="28"/>
                <w:shd w:val="clear" w:color="auto" w:fill="FFFFFF"/>
              </w:rPr>
              <w:t>Tổng số điểm</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105" w:type="dxa"/>
              <w:bottom w:w="30" w:type="dxa"/>
              <w:right w:w="105" w:type="dxa"/>
            </w:tcMar>
            <w:vAlign w:val="center"/>
            <w:hideMark/>
          </w:tcPr>
          <w:p w:rsidR="001D75AF" w:rsidRDefault="001D75AF" w:rsidP="001D75AF">
            <w:pPr>
              <w:pStyle w:val="NormalWeb"/>
              <w:spacing w:before="120" w:beforeAutospacing="0" w:after="0" w:afterAutospacing="0"/>
              <w:jc w:val="center"/>
              <w:rPr>
                <w:rFonts w:ascii="Helvetica" w:hAnsi="Helvetica"/>
                <w:color w:val="333333"/>
                <w:sz w:val="21"/>
                <w:szCs w:val="21"/>
              </w:rPr>
            </w:pPr>
            <w:r>
              <w:rPr>
                <w:b/>
                <w:bCs/>
                <w:color w:val="000000"/>
                <w:sz w:val="28"/>
                <w:szCs w:val="28"/>
                <w:shd w:val="clear" w:color="auto" w:fill="FFFFFF"/>
              </w:rPr>
              <w:t>100</w:t>
            </w:r>
          </w:p>
        </w:tc>
      </w:tr>
    </w:tbl>
    <w:p w:rsidR="001D75AF" w:rsidRDefault="001D75AF" w:rsidP="007C00EF">
      <w:pPr>
        <w:spacing w:before="40" w:after="40" w:line="276" w:lineRule="auto"/>
        <w:jc w:val="center"/>
        <w:rPr>
          <w:i/>
          <w:sz w:val="28"/>
          <w:szCs w:val="28"/>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301"/>
        <w:gridCol w:w="1366"/>
      </w:tblGrid>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TT</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NỘI DUNG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MỨC TỐI ĐA</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I</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tên trong danh sách các tổ chức hành nghề đấu giá tài sản do Bộ Tư pháp công bố</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tên trong danh sách tổ chức hành nghề đấu giá tài sản do Bộ Tư pháp công bố</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Đủ điều kiện</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Không có tên trong danh sách tổ chức hành nghề đấu giá tài sản do Bộ Tư pháp công bố</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Không đủ điều kiện</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II</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Cơ sở vật chất, trang thiết bị cần thiết bảo đảm cho việc đấu giá đối với loại tài sản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19,0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Cơ sở vật chất bảo đảm cho việc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địa chỉ trụ sở ổn định, rõ ràng (số điện thoại, địa chỉ thư điện tử...)</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Địa điểm bán, tiếp nhận hồ sơ tham gia đấu giá công khai, thuận tiện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Trang thiết bị cần thiết bảo đảm cho việc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hệ thống camera giám sát hoặc thiết bị ghi hình tại trụ sở tổ chức hành nghề đấu giá khi bán, tiếp nhận hồ sơ tham gia đấu giá (có thể được trích xuất, lưu theo hồ sơ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hệ thống camera giám sát hoặc thiết bị ghi hình tại nơi tổ chức phiên đấu giá ( được trích xuất, lưu theo hồ sơ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trang thông tin điện tử của tổ chức hành nghề đấu giá đang hoạt động ổn định, được cập nhật thường xuyên</w:t>
            </w:r>
          </w:p>
          <w:p w:rsidR="001D75AF" w:rsidRPr="001D75AF" w:rsidRDefault="001D75AF" w:rsidP="001D75AF">
            <w:pPr>
              <w:rPr>
                <w:b/>
              </w:rPr>
            </w:pPr>
            <w:r w:rsidRPr="001D75AF">
              <w:rPr>
                <w:b/>
              </w:rPr>
              <w:t>Đối với Trung tâm dịch vụ đấu giá tài sản thì dùng Trang thông tin điện tử độc lập hoặc Trang thông tin thuộc Cổng thông tin điện tử của Sở Tư pháp</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Trang thông tin đấu giá trực tuyến được phê duyệt hoặc trong năm trước liền kề đã thực hiện ít nhất 01 cuộc đấu giá bằng hình thức trực tuyến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nơi lưu trữ hồ sơ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III</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Phương án đấu giá khả thi, hiệu quả (Thuyết minh đầy đủ các nội dung trong phương án)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16,0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Phương án đấu giá đề xuất được hình thức đấu giá, bước giá, số vòng đấu giá có tính khả thi và hiệu quả cao</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Hình thức đấu giá khả thi, hiệu quả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Bước giá, số vòng đấu giá khả thi, hiệu quả</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Phương án đấu giá đề xuất việc bán, tiếp nhận hồ sơ tham gia đấu giá công khai, khả thi, thuận tiện (địa điểm, phương thức bán, tiếp nhận hồ sơ)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Phương án đấu giá đề xuất được đối tượng và điều kiện tham gia đấu giá phù hợp với tài sản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Đối tượng theo đúng quy định của pháp luật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Điều kiện tham gia đấu giá phù hợp với quy định pháp luật áp dụng đối với tài sản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Phương án đấu giá đề xuất giải pháp giám sát việc tổ chức đấu giá hiệu quả; chống thông đồng, dìm giá, bảo đảm an toàn, an ninh trật tự của phiên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IV</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Năng lực, kinh nghiệm và uy tín của tổ chức hành nghề đấu giá tài sản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57,0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Tổng số cuộc đấu giá đã tổ chức trong năm trước liền kề (bao gồm cả cuộc đấu giá thành và cuộc đấu giá không thành). 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Dưới 20 cuộc đấu giá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20 cuộc đấu giá đến dưới 40 cuộc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13,0</w:t>
            </w:r>
          </w:p>
        </w:tc>
      </w:tr>
      <w:tr w:rsidR="001D75AF" w:rsidRPr="00602A78" w:rsidDel="00D74021"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40 cuộc đấu giá đến dưới 70 cuộc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pPr>
              <w:rPr>
                <w:b/>
              </w:rPr>
            </w:pPr>
            <w:r w:rsidRPr="001D75AF">
              <w:rPr>
                <w:b/>
              </w:rPr>
              <w:t>14,0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70 cuộc đấu giá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15,0</w:t>
            </w:r>
          </w:p>
        </w:tc>
      </w:tr>
      <w:tr w:rsidR="001D75AF" w:rsidRPr="00602A78" w:rsidDel="00D74021"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Tổng số cuộc đấu giá thành trong năm trước liền kề  (Chỉ chọn chấm điểm một trong các tiêu chí)</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pPr>
              <w:rPr>
                <w:b/>
              </w:rPr>
            </w:pPr>
            <w:r w:rsidRPr="001D75AF">
              <w:rPr>
                <w:b/>
              </w:rPr>
              <w:t>7,0</w:t>
            </w:r>
          </w:p>
        </w:tc>
      </w:tr>
      <w:tr w:rsidR="001D75AF" w:rsidRPr="00602A78" w:rsidDel="00D74021"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Dưới 10 cuộc đấu giá thành (bao gồm trường hợp không có cuộc đấu giá thành nào)</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pPr>
              <w:rPr>
                <w:b/>
              </w:rPr>
            </w:pPr>
            <w:r w:rsidRPr="001D75AF">
              <w:rPr>
                <w:b/>
              </w:rPr>
              <w:t>4,0</w:t>
            </w:r>
          </w:p>
        </w:tc>
      </w:tr>
      <w:tr w:rsidR="001D75AF" w:rsidRPr="00602A78" w:rsidDel="00D74021"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10 cuộc đấu giá thành đến dưới 30 cuộc đấu giá thành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pPr>
              <w:rPr>
                <w:b/>
              </w:rPr>
            </w:pPr>
            <w:r w:rsidRPr="001D75AF">
              <w:rPr>
                <w:b/>
              </w:rPr>
              <w:t>5,0</w:t>
            </w:r>
          </w:p>
        </w:tc>
      </w:tr>
      <w:tr w:rsidR="001D75AF" w:rsidRPr="00602A78" w:rsidDel="00D74021"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30 cuộc đấu giá thành đến dưới 50 cuộc đấu giá thành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pPr>
              <w:rPr>
                <w:b/>
              </w:rPr>
            </w:pPr>
            <w:r w:rsidRPr="001D75AF">
              <w:rPr>
                <w:b/>
              </w:rPr>
              <w:t>6,0</w:t>
            </w:r>
          </w:p>
        </w:tc>
      </w:tr>
      <w:tr w:rsidR="001D75AF" w:rsidRPr="00602A78" w:rsidDel="00D74021"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50 cuộc đấu giá thành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pPr>
              <w:rPr>
                <w:b/>
              </w:rPr>
            </w:pPr>
            <w:r w:rsidRPr="001D75AF">
              <w:rPr>
                <w:b/>
              </w:rPr>
              <w:t>7,0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Tổng số cuộc đấu giá thành có chênh lệch giữa giá trúng so với giá khởi điểm trong năm trước liền kề (Người có tài sản không yêu cầu nộp hoặc cung cấp bản chính hoặc bản sao hợp đồng, quy chế cuộc đấu giá và các tài liệu có liên quan)</w:t>
            </w:r>
          </w:p>
          <w:p w:rsidR="001D75AF" w:rsidRPr="001D75AF" w:rsidRDefault="001D75AF" w:rsidP="001D75AF">
            <w:pPr>
              <w:rPr>
                <w:b/>
              </w:rPr>
            </w:pPr>
            <w:r w:rsidRPr="001D75AF">
              <w:rPr>
                <w:b/>
              </w:rPr>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Dưới 10 cuộc (bao gồm cả trường hợp không có chênh lệch)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10 cuộc đến dưới 30 cuộc</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30 cuộc đến dưới 50 cuộc</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6,0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50 cuộc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Tổng số cuộc đấu giá thành trong năm trước liền kề có mức chênh lệch từ 10% trở lên (Người có tài sản đấu giá không yêu cầu nộp bản chính hoặc bản sao hợp đồng) </w:t>
            </w:r>
          </w:p>
          <w:p w:rsidR="001D75AF" w:rsidRPr="001D75AF" w:rsidRDefault="001D75AF" w:rsidP="001D75AF">
            <w:pPr>
              <w:rPr>
                <w:b/>
              </w:rPr>
            </w:pPr>
            <w:r w:rsidRPr="001D75AF">
              <w:rPr>
                <w:b/>
              </w:rPr>
              <w:t>Người có tài sản chấm điểm theo cách thức dưới đây. Trường hợp  kết quả điểm là số thập phân thì được làm tròn đến hàng phần trăm. Trường hợp số điểm của tổ chức hành nghề đấu giá tài sản dưới 1 điểm (bao gồm cả trường hợp 0 điểm) thì được tính là 1 điểm.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Tổ chức hành nghề đấu giả tài sản (A) có tổng số cuộc đấu giá thành trong năm trước liền kề có mức chênh lệch từ 10% trở lên nhiều nhất (Y cuộc) thì được tối đa 3 điểm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Tổ chức hành nghề đấu giá tài sản (B) có tổng số cuộc đấu giá thành trong năm trước liền kề có mức chênh lệch từ 10% trở lên thấp hơn liền kề (U cuộc) thì số điểm được tính theo công thức: Số điểm của B = (Ux3)/Y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Tổ chức hành nghề đấu giá tài sản (C) có tổng số cuộc đấu giá hành trong năm trước liền kề có mức chênh lệch từ 10% trở lên hấp hơn liền kề tiếp theo (V cuộc) thì số điểm được tính tương tự veo công thức nêu trên: Số điểm của C = (x3)/Y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1D75AF" w:rsidRPr="001D75AF" w:rsidRDefault="001D75AF" w:rsidP="001D75AF">
            <w:pPr>
              <w:rPr>
                <w:b/>
              </w:rPr>
            </w:pPr>
            <w:r w:rsidRPr="001D75AF">
              <w:rPr>
                <w:b/>
              </w:rPr>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thời gian hoạt động dưới 5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thời gian hoạt động từ 05 năm đến dưới 10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thời gian hoạt động từ 10 năm đến dưới 15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6,0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thời gian hoạt động từ 15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6.</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Số lượng đấu giá viên của tổ chức hành nghề đấu giá tài sản</w:t>
            </w:r>
          </w:p>
          <w:p w:rsidR="001D75AF" w:rsidRPr="001D75AF" w:rsidRDefault="001D75AF" w:rsidP="001D75AF">
            <w:pPr>
              <w:rPr>
                <w:b/>
              </w:rPr>
            </w:pPr>
            <w:r w:rsidRPr="001D75AF">
              <w:rPr>
                <w:b/>
              </w:rPr>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6.1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01 đấu giá viên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6.2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02 đến dưới 05 đấu giá viên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6.3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05 đấu giá viên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Kinh nghiệm hành nghề của đấu giá viên là Giám đốc Trung tâm dịch vụ đấu giá tài sản, Tổng giám đốc hoặc Giám đốc của Công ty đấu giá hợp danh, Giám đốc doanh nghiệp tư nhân (Tính từ thời điểm được cấp Thẻ đấu giá viên theo Nghị định số </w:t>
            </w:r>
            <w:hyperlink r:id="rId6" w:tgtFrame="_blank" w:tooltip="Nghị định 05/2005/NĐ-CP" w:history="1">
              <w:r w:rsidRPr="001D75AF">
                <w:rPr>
                  <w:rStyle w:val="Hyperlink"/>
                  <w:b/>
                </w:rPr>
                <w:t>05/2005/NĐ-CP</w:t>
              </w:r>
            </w:hyperlink>
            <w:r w:rsidRPr="001D75AF">
              <w:rPr>
                <w:b/>
              </w:rPr>
              <w:t xml:space="preserve"> ngày 18/01/2005 của Chính phủ về bán đấu giá tài sản hoặc đăng ký danh sách đấu giá viên tại Sở Tư pháp theo Nghị định số </w:t>
            </w:r>
            <w:hyperlink r:id="rId7" w:tgtFrame="_blank" w:tooltip="Nghị định 17/2010/NĐ-CP" w:history="1">
              <w:r w:rsidRPr="001D75AF">
                <w:rPr>
                  <w:rStyle w:val="Hyperlink"/>
                  <w:b/>
                </w:rPr>
                <w:t>17/2010/NĐ-CP</w:t>
              </w:r>
            </w:hyperlink>
            <w:r w:rsidRPr="001D75AF">
              <w:rPr>
                <w:b/>
              </w:rPr>
              <w:t xml:space="preserve"> ngày 04/3/2010 của Chính phủ về bán đấu giá tài sản hoặc Thẻ đấu giá viên theo Luật Đấu giá tài sản hoặc thông tin về danh sách đấu giá viên trong Giấy đăng ký hoạt động của doanh nghiệp đấu giá tài sản theo Luật sửa đổi, bổ sung một số điều của Luật Đấu giá tài sản)</w:t>
            </w:r>
          </w:p>
          <w:p w:rsidR="001D75AF" w:rsidRPr="001D75AF" w:rsidRDefault="001D75AF" w:rsidP="001D75AF">
            <w:pPr>
              <w:rPr>
                <w:b/>
              </w:rPr>
            </w:pPr>
            <w:r w:rsidRPr="001D75AF">
              <w:rPr>
                <w:b/>
              </w:rPr>
              <w:t>Chỉ chọn chấm điểm một trong các tiêu chí</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Dưới 5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05 năm đến dưới 10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7.3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10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297F37" w:rsidRDefault="001D75AF" w:rsidP="001D75AF">
            <w:pPr>
              <w:rPr>
                <w:b/>
              </w:rPr>
            </w:pPr>
            <w:r w:rsidRPr="001D75AF">
              <w:rPr>
                <w:b/>
              </w:rPr>
              <w:t>8.</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Kinh nghiệm của đấu giá viên hành nghề</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8.1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Không có đấu giá viên có thời gian hành nghề từ 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8.2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từ 1 đến 3 đấu giá viên có thời gian hành nghề từ 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8.3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từ 4 đấu giá viên trở lên có thời gian hành nghề từ 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9.</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Số thuế thu nhập doanh nghiệp hoặc khoản tiền nộp vào ngân sách Nhà nước Trung tâm Dịch vụ đấu giá tài sản trong năm trước liền kề, trừ thuế giá trị gia tăng (Số thuế thu nhập doanh nghiệp phải nộp theo Tờ khai quyết toán thuế thu nhập doanh nghiệp trong báo cáo tài chính và số thuế thực nộp được cơ quan thuế xác nhận bằng chứng từ điện tử; đối với Trung tâm dịch vụ đấu giá tài sản thì có văn bản về việc thực hiện nghĩa vụ thuế với ngân sách Nhà nước)</w:t>
            </w:r>
          </w:p>
          <w:p w:rsidR="001D75AF" w:rsidRPr="001D75AF" w:rsidRDefault="001D75AF" w:rsidP="001D75AF">
            <w:pPr>
              <w:rPr>
                <w:b/>
              </w:rPr>
            </w:pPr>
            <w:r w:rsidRPr="001D75AF">
              <w:rPr>
                <w:b/>
              </w:rPr>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9.1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Dưới 50 triệu đồng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9.2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Từ 50 triệu đồng đến dưới 100 triệu đồng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9.3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 xml:space="preserve">Từ 100 triệu đồng trở lên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5,0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V</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Tiêu chí khác phù hợp với tài sản đấu giá do người có tài sản đấu giá quyết định (Người có tài sản có thể chọn hoặc không chọn tiêu chí tại mục này để đánh giá chấm điểm. Trường hợp chọn tiêu chí tại mục này thì người có tài sản chọn một hoặc nhiều tiêu chí sau đây nhưng số điểm không được vượt quá mức tối đa của từng tiêu chí và tổng số điểm không được vượt quá mức tối đa của mục này)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8,0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Đã từng ký hợp đồng dịch vụ đấu giá tài sản với người có tài sản đấu giá và đã tổ chức cuộc đấu giá thành theo hợp đồng đó</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Là tổ chức hành nghề đấu giá chuyên nghiệp có trụ sở chính tại Tây Ninh (Không bao gồm trụ sở chi nhánh)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4,0</w:t>
            </w:r>
          </w:p>
        </w:tc>
      </w:tr>
      <w:tr w:rsidR="001D75AF" w:rsidRPr="00602A78" w:rsidTr="001D75AF">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Đã từng đấu giá tài sản tài sản cùng loại với tài sản đưa ra đấu giá tại Tây Ninh.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2,0</w:t>
            </w:r>
          </w:p>
        </w:tc>
      </w:tr>
      <w:tr w:rsidR="001D75AF" w:rsidRPr="00602A78" w:rsidTr="008C43D8">
        <w:tblPrEx>
          <w:tblCellSpacing w:w="0" w:type="dxa"/>
          <w:tblCellMar>
            <w:left w:w="0" w:type="dxa"/>
            <w:right w:w="0" w:type="dxa"/>
          </w:tblCellMar>
        </w:tblPrEx>
        <w:trPr>
          <w:trHeight w:val="20"/>
          <w:tblCellSpacing w:w="0" w:type="dxa"/>
        </w:trPr>
        <w:tc>
          <w:tcPr>
            <w:tcW w:w="8162" w:type="dxa"/>
            <w:gridSpan w:val="2"/>
            <w:tcMar>
              <w:top w:w="28" w:type="dxa"/>
              <w:left w:w="108" w:type="dxa"/>
              <w:bottom w:w="28" w:type="dxa"/>
              <w:right w:w="108" w:type="dxa"/>
            </w:tcMar>
            <w:vAlign w:val="center"/>
            <w:hideMark/>
          </w:tcPr>
          <w:p w:rsidR="001D75AF" w:rsidRPr="00602A78" w:rsidRDefault="001D75AF" w:rsidP="008C43D8">
            <w:pPr>
              <w:snapToGrid w:val="0"/>
              <w:spacing w:before="120" w:after="100" w:afterAutospacing="1"/>
              <w:jc w:val="center"/>
              <w:rPr>
                <w:b/>
                <w:color w:val="000000" w:themeColor="text1"/>
                <w:sz w:val="28"/>
                <w:szCs w:val="28"/>
              </w:rPr>
            </w:pPr>
            <w:r w:rsidRPr="00602A78">
              <w:rPr>
                <w:b/>
                <w:bCs/>
                <w:color w:val="000000" w:themeColor="text1"/>
                <w:sz w:val="28"/>
                <w:szCs w:val="28"/>
                <w:shd w:val="clear" w:color="auto" w:fill="FFFFFF"/>
              </w:rPr>
              <w:t>Tổng số điểm</w:t>
            </w:r>
          </w:p>
        </w:tc>
        <w:tc>
          <w:tcPr>
            <w:tcW w:w="1366" w:type="dxa"/>
            <w:tcMar>
              <w:top w:w="28" w:type="dxa"/>
              <w:left w:w="108" w:type="dxa"/>
              <w:bottom w:w="28" w:type="dxa"/>
              <w:right w:w="108" w:type="dxa"/>
            </w:tcMar>
            <w:vAlign w:val="center"/>
            <w:hideMark/>
          </w:tcPr>
          <w:p w:rsidR="001D75AF" w:rsidRPr="00602A78" w:rsidRDefault="001D75AF" w:rsidP="008C43D8">
            <w:pPr>
              <w:snapToGrid w:val="0"/>
              <w:spacing w:before="120" w:after="100" w:afterAutospacing="1"/>
              <w:jc w:val="center"/>
              <w:rPr>
                <w:color w:val="000000" w:themeColor="text1"/>
                <w:sz w:val="28"/>
                <w:szCs w:val="28"/>
              </w:rPr>
            </w:pPr>
            <w:r w:rsidRPr="00602A78">
              <w:rPr>
                <w:bCs/>
                <w:color w:val="000000" w:themeColor="text1"/>
                <w:sz w:val="28"/>
                <w:szCs w:val="28"/>
                <w:shd w:val="clear" w:color="auto" w:fill="FFFFFF"/>
              </w:rPr>
              <w:t>100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TT</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NỘI DUNG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MỨC TỐI ĐA</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I</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Có tên trong danh sách các tổ chức hành nghề đấu giá tài sản do Bộ Tư pháp công bố</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tên trong danh sách tổ chức hành nghề đấu giá tài sản do Bộ Tư pháp công bố</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Đủ điều kiện</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Không có tên trong danh sách tổ chức hành nghề đấu giá tài sản do Bộ Tư pháp công bố</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Không đủ điều kiện</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II</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Cơ sở vật chất, trang thiết bị cần thiết bảo đảm cho việc đấu giá đối với loại tài sản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19,0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Cơ sở vật chất bảo đảm cho việc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địa chỉ trụ sở ổn định, rõ ràng (số điện thoại, địa chỉ thư điện tử...)</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Địa điểm bán, tiếp nhận hồ sơ tham gia đấu giá công khai, thuận tiện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Trang thiết bị cần thiết bảo đảm cho việc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hệ thống camera giám sát hoặc thiết bị ghi hình tại trụ sở tổ chức hành nghề đấu giá khi bán, tiếp nhận hồ sơ tham gia đấu giá (có thể được trích xuất, lưu theo hồ sơ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hệ thống camera giám sát hoặc thiết bị ghi hình tại nơi tổ chức phiên đấu giá ( được trích xuất, lưu theo hồ sơ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trang thông tin điện tử của tổ chức hành nghề đấu giá đang hoạt động ổn định, được cập nhật thường xuyên</w:t>
            </w:r>
          </w:p>
          <w:p w:rsidR="001D75AF" w:rsidRPr="001D75AF" w:rsidRDefault="001D75AF" w:rsidP="001D75AF">
            <w:r w:rsidRPr="001D75AF">
              <w:t>Đối với Trung tâm dịch vụ đấu giá tài sản thì dùng Trang thông tin điện tử độc lập hoặc Trang thông tin thuộc Cổng thông tin điện tử của Sở Tư pháp</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Trang thông tin đấu giá trực tuyến được phê duyệt hoặc trong năm trước liền kề đã thực hiện ít nhất 01 cuộc đấu giá bằng hình thức trực tuyến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nơi lưu trữ hồ sơ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III</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Phương án đấu giá khả thi, hiệu quả (Thuyết minh đầy đủ các nội dung trong phương án)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16,0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Phương án đấu giá đề xuất được hình thức đấu giá, bước giá, số vòng đấu giá có tính khả thi và hiệu quả cao</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Hình thức đấu giá khả thi, hiệu quả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Bước giá, số vòng đấu giá khả thi, hiệu quả</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Phương án đấu giá đề xuất việc bán, tiếp nhận hồ sơ tham gia đấu giá công khai, khả thi, thuận tiện (địa điểm, phương thức bán, tiếp nhận hồ sơ)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Phương án đấu giá đề xuất được đối tượng và điều kiện tham gia đấu giá phù hợp với tài sản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Đối tượng theo đúng quy định của pháp luật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Điều kiện tham gia đấu giá phù hợp với quy định pháp luật áp dụng đối với tài sản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Phương án đấu giá đề xuất giải pháp giám sát việc tổ chức đấu giá hiệu quả; chống thông đồng, dìm giá, bảo đảm an toàn, an ninh trật tự của phiên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IV</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Năng lực, kinh nghiệm và uy tín của tổ chức hành nghề đấu giá tài sản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57,0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Tổng số cuộc đấu giá đã tổ chức trong năm trước liền kề (bao gồm cả cuộc đấu giá thành và cuộc đấu giá không thành). 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Dưới 20 cuộc đấu giá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20 cuộc đấu giá đến dưới 40 cuộc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13,0</w:t>
            </w:r>
          </w:p>
        </w:tc>
      </w:tr>
      <w:tr w:rsidR="001D75AF" w:rsidRPr="001D75AF" w:rsidDel="00D74021"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40 cuộc đấu giá đến dưới 70 cuộc đấu giá</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r w:rsidRPr="001D75AF">
              <w:t>14,0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70 cuộc đấu giá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15,0</w:t>
            </w:r>
          </w:p>
        </w:tc>
      </w:tr>
      <w:tr w:rsidR="001D75AF" w:rsidRPr="001D75AF" w:rsidDel="00D74021"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Tổng số cuộc đấu giá thành trong năm trước liền kề  (Chỉ chọn chấm điểm một trong các tiêu chí)</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r w:rsidRPr="001D75AF">
              <w:t>7,0</w:t>
            </w:r>
          </w:p>
        </w:tc>
      </w:tr>
      <w:tr w:rsidR="001D75AF" w:rsidRPr="001D75AF" w:rsidDel="00D74021"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Dưới 10 cuộc đấu giá thành (bao gồm trường hợp không có cuộc đấu giá thành nào)</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r w:rsidRPr="001D75AF">
              <w:t>4,0</w:t>
            </w:r>
          </w:p>
        </w:tc>
      </w:tr>
      <w:tr w:rsidR="001D75AF" w:rsidRPr="001D75AF" w:rsidDel="00D74021"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10 cuộc đấu giá thành đến dưới 30 cuộc đấu giá thành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r w:rsidRPr="001D75AF">
              <w:t>5,0</w:t>
            </w:r>
          </w:p>
        </w:tc>
      </w:tr>
      <w:tr w:rsidR="001D75AF" w:rsidRPr="001D75AF" w:rsidDel="00D74021"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30 cuộc đấu giá thành đến dưới 50 cuộc đấu giá thành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r w:rsidRPr="001D75AF">
              <w:t>6,0</w:t>
            </w:r>
          </w:p>
        </w:tc>
      </w:tr>
      <w:tr w:rsidR="001D75AF" w:rsidRPr="001D75AF" w:rsidDel="00D74021"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50 cuộc đấu giá thành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D74021" w:rsidRDefault="001D75AF" w:rsidP="001D75AF">
            <w:r w:rsidRPr="001D75AF">
              <w:t>7,0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Tổng số cuộc đấu giá thành có chênh lệch giữa giá trúng so với giá khởi điểm trong năm trước liền kề (Người có tài sản không yêu cầu nộp hoặc cung cấp bản chính hoặc bản sao hợp đồng, quy chế cuộc đấu giá và các tài liệu có liên quan)</w:t>
            </w:r>
          </w:p>
          <w:p w:rsidR="001D75AF" w:rsidRPr="001D75AF" w:rsidRDefault="001D75AF" w:rsidP="001D75AF">
            <w:r w:rsidRPr="001D75AF">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Dưới 10 cuộc (bao gồm cả trường hợp không có chênh lệch)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10 cuộc đến dưới 30 cuộc</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30 cuộc đến dưới 50 cuộc</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6,0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50 cuộc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Tổng số cuộc đấu giá thành trong năm trước liền kề có mức chênh lệch từ 10% trở lên (Người có tài sản đấu giá không yêu cầu nộp bản chính hoặc bản sao hợp đồng) </w:t>
            </w:r>
          </w:p>
          <w:p w:rsidR="001D75AF" w:rsidRPr="001D75AF" w:rsidRDefault="001D75AF" w:rsidP="001D75AF">
            <w:r w:rsidRPr="001D75AF">
              <w:t>Người có tài sản chấm điểm theo cách thức dưới đây. Trường hợp  kết quả điểm là số thập phân thì được làm tròn đến hàng phần trăm. Trường hợp số điểm của tổ chức hành nghề đấu giá tài sản dưới 1 điểm (bao gồm cả trường hợp 0 điểm) thì được tính là 1 điểm.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Tổ chức hành nghề đấu giả tài sản (A) có tổng số cuộc đấu giá thành trong năm trước liền kề có mức chênh lệch từ 10% trở lên nhiều nhất (Y cuộc) thì được tối đa 3 điểm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Tổ chức hành nghề đấu giá tài sản (B) có tổng số cuộc đấu giá thành trong năm trước liền kề có mức chênh lệch từ 10% trở lên thấp hơn liền kề (U cuộc) thì số điểm được tính theo công thức: Số điểm của B = (Ux3)/Y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Tổ chức hành nghề đấu giá tài sản (C) có tổng số cuộc đấu giá hành trong năm trước liền kề có mức chênh lệch từ 10% trở lên hấp hơn liền kề tiếp theo (V cuộc) thì số điểm được tính tương tự veo công thức nêu trên: Số điểm của C = (x3)/Y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1D75AF" w:rsidRPr="001D75AF" w:rsidRDefault="001D75AF" w:rsidP="001D75AF">
            <w:r w:rsidRPr="001D75AF">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thời gian hoạt động dưới 5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thời gian hoạt động từ 05 năm đến dưới 10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thời gian hoạt động từ 10 năm đến dưới 15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6,0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5.4</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thời gian hoạt động từ 15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6.</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Số lượng đấu giá viên của tổ chức hành nghề đấu giá tài sản</w:t>
            </w:r>
          </w:p>
          <w:p w:rsidR="001D75AF" w:rsidRPr="001D75AF" w:rsidRDefault="001D75AF" w:rsidP="001D75AF">
            <w:r w:rsidRPr="001D75AF">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6.1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01 đấu giá viên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6.2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02 đến dưới 05 đấu giá viên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6.3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05 đấu giá viên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Kinh nghiệm hành nghề của đấu giá viên là Giám đốc Trung tâm dịch vụ đấu giá tài sản, Tổng giám đốc hoặc Giám đốc của Công ty đấu giá hợp danh, Giám đốc doanh nghiệp tư nhân (Tính từ thời điểm được cấp Thẻ đấu giá viên theo Nghị định số </w:t>
            </w:r>
            <w:hyperlink r:id="rId8" w:tgtFrame="_blank" w:tooltip="Nghị định 05/2005/NĐ-CP" w:history="1">
              <w:r w:rsidRPr="001D75AF">
                <w:rPr>
                  <w:rStyle w:val="Hyperlink"/>
                </w:rPr>
                <w:t>05/2005/NĐ-CP</w:t>
              </w:r>
            </w:hyperlink>
            <w:r w:rsidRPr="001D75AF">
              <w:t xml:space="preserve"> ngày 18/01/2005 của Chính phủ về bán đấu giá tài sản hoặc đăng ký danh sách đấu giá viên tại Sở Tư pháp theo Nghị định số </w:t>
            </w:r>
            <w:hyperlink r:id="rId9" w:tgtFrame="_blank" w:tooltip="Nghị định 17/2010/NĐ-CP" w:history="1">
              <w:r w:rsidRPr="001D75AF">
                <w:rPr>
                  <w:rStyle w:val="Hyperlink"/>
                </w:rPr>
                <w:t>17/2010/NĐ-CP</w:t>
              </w:r>
            </w:hyperlink>
            <w:r w:rsidRPr="001D75AF">
              <w:t xml:space="preserve"> ngày 04/3/2010 của Chính phủ về bán đấu giá tài sản hoặc Thẻ đấu giá viên theo Luật Đấu giá tài sản hoặc thông tin về danh sách đấu giá viên trong Giấy đăng ký hoạt động của doanh nghiệp đấu giá tài sản theo Luật sửa đổi, bổ sung một số điều của Luật Đấu giá tài sản)</w:t>
            </w:r>
          </w:p>
          <w:p w:rsidR="001D75AF" w:rsidRPr="001D75AF" w:rsidRDefault="001D75AF" w:rsidP="001D75AF">
            <w:r w:rsidRPr="001D75AF">
              <w:t>Chỉ chọn chấm điểm một trong các tiêu chí</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Dưới 5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05 năm đến dưới 10 năm</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7.3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10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Del="00297F37" w:rsidRDefault="001D75AF" w:rsidP="001D75AF">
            <w:r w:rsidRPr="001D75AF">
              <w:t>8.</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Kinh nghiệm của đấu giá viên hành nghề</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8.1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Không có đấu giá viên có thời gian hành nghề từ 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8.2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từ 1 đến 3 đấu giá viên có thời gian hành nghề từ 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8.3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Có từ 4 đấu giá viên trở lên có thời gian hành nghề từ 5 năm trở lên</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9.</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Số thuế thu nhập doanh nghiệp hoặc khoản tiền nộp vào ngân sách Nhà nước Trung tâm Dịch vụ đấu giá tài sản trong năm trước liền kề, trừ thuế giá trị gia tăng (Số thuế thu nhập doanh nghiệp phải nộp theo Tờ khai quyết toán thuế thu nhập doanh nghiệp trong báo cáo tài chính và số thuế thực nộp được cơ quan thuế xác nhận bằng chứng từ điện tử; đối với Trung tâm dịch vụ đấu giá tài sản thì có văn bản về việc thực hiện nghĩa vụ thuế với ngân sách Nhà nước)</w:t>
            </w:r>
          </w:p>
          <w:p w:rsidR="001D75AF" w:rsidRPr="001D75AF" w:rsidRDefault="001D75AF" w:rsidP="001D75AF">
            <w:r w:rsidRPr="001D75AF">
              <w:t xml:space="preserve">Chỉ chọn chấm điểm một trong các tiêu chí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9.1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Dưới 50 triệu đồng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9.2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Từ 50 triệu đồng đến dưới 100 triệu đồng</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9.3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 xml:space="preserve">Từ 100 triệu đồng trở lên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5,0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V</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Tiêu chí khác phù hợp với tài sản đấu giá do người có tài sản đấu giá quyết định (Người có tài sản có thể chọn hoặc không chọn tiêu chí tại mục này để đánh giá chấm điểm. Trường hợp chọn tiêu chí tại mục này thì người có tài sản chọn một hoặc nhiều tiêu chí sau đây nhưng số điểm không được vượt quá mức tối đa của từng tiêu chí và tổng số điểm không được vượt quá mức tối đa của mục này)</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pPr>
              <w:rPr>
                <w:b/>
              </w:rPr>
            </w:pPr>
            <w:r w:rsidRPr="001D75AF">
              <w:rPr>
                <w:b/>
              </w:rPr>
              <w:t>8,0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1.</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Đã từng ký hợp đồng dịch vụ đấu giá tài sản với người có tài sản đấu giá và đã tổ chức cuộc đấu giá thành theo hợp đồng đó</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Là tổ chức hành nghề đấu giá chuyên nghiệp có trụ sở chính tại Tây Ninh (Không bao gồm trụ sở chi nhánh)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4,0</w:t>
            </w:r>
          </w:p>
        </w:tc>
      </w:tr>
      <w:tr w:rsidR="001D75AF" w:rsidRPr="001D75AF" w:rsidTr="008C43D8">
        <w:trPr>
          <w:trHeight w:val="624"/>
          <w:tblHeader/>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3.</w:t>
            </w:r>
          </w:p>
        </w:tc>
        <w:tc>
          <w:tcPr>
            <w:tcW w:w="7301"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Đã từng đấu giá tài sản tài sản cùng loại với tài sản đưa ra đấu giá tại Tây Ninh.</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1D75AF" w:rsidRPr="001D75AF" w:rsidRDefault="001D75AF" w:rsidP="001D75AF">
            <w:r w:rsidRPr="001D75AF">
              <w:t>2,0</w:t>
            </w:r>
          </w:p>
        </w:tc>
      </w:tr>
      <w:tr w:rsidR="001D75AF" w:rsidRPr="001D75AF" w:rsidTr="008C43D8">
        <w:tblPrEx>
          <w:tblCellSpacing w:w="0" w:type="dxa"/>
          <w:tblCellMar>
            <w:left w:w="0" w:type="dxa"/>
            <w:right w:w="0" w:type="dxa"/>
          </w:tblCellMar>
        </w:tblPrEx>
        <w:trPr>
          <w:trHeight w:val="20"/>
          <w:tblCellSpacing w:w="0" w:type="dxa"/>
        </w:trPr>
        <w:tc>
          <w:tcPr>
            <w:tcW w:w="8162" w:type="dxa"/>
            <w:gridSpan w:val="2"/>
            <w:tcMar>
              <w:top w:w="28" w:type="dxa"/>
              <w:left w:w="108" w:type="dxa"/>
              <w:bottom w:w="28" w:type="dxa"/>
              <w:right w:w="108" w:type="dxa"/>
            </w:tcMar>
            <w:vAlign w:val="center"/>
            <w:hideMark/>
          </w:tcPr>
          <w:p w:rsidR="001D75AF" w:rsidRPr="001D75AF" w:rsidRDefault="001D75AF" w:rsidP="001D75AF">
            <w:pPr>
              <w:rPr>
                <w:b/>
              </w:rPr>
            </w:pPr>
            <w:r w:rsidRPr="001D75AF">
              <w:rPr>
                <w:b/>
                <w:bCs/>
              </w:rPr>
              <w:t>Tổng số điểm</w:t>
            </w:r>
          </w:p>
        </w:tc>
        <w:tc>
          <w:tcPr>
            <w:tcW w:w="1366" w:type="dxa"/>
            <w:tcMar>
              <w:top w:w="28" w:type="dxa"/>
              <w:left w:w="108" w:type="dxa"/>
              <w:bottom w:w="28" w:type="dxa"/>
              <w:right w:w="108" w:type="dxa"/>
            </w:tcMar>
            <w:vAlign w:val="center"/>
            <w:hideMark/>
          </w:tcPr>
          <w:p w:rsidR="001D75AF" w:rsidRPr="001D75AF" w:rsidRDefault="001D75AF" w:rsidP="001D75AF">
            <w:r w:rsidRPr="001D75AF">
              <w:rPr>
                <w:bCs/>
              </w:rPr>
              <w:t>100</w:t>
            </w:r>
          </w:p>
        </w:tc>
      </w:tr>
    </w:tbl>
    <w:p w:rsidR="00020D82" w:rsidRDefault="001913E7"/>
    <w:sectPr w:rsidR="00020D82" w:rsidSect="001D75AF">
      <w:pgSz w:w="12240" w:h="15840"/>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EF"/>
    <w:rsid w:val="001913E7"/>
    <w:rsid w:val="001D75AF"/>
    <w:rsid w:val="007C00EF"/>
    <w:rsid w:val="00A07079"/>
    <w:rsid w:val="00B0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9B25"/>
  <w15:chartTrackingRefBased/>
  <w15:docId w15:val="{1689BA42-652F-4C21-B454-B13C11E2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0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C00EF"/>
    <w:rPr>
      <w:color w:val="0000FF"/>
      <w:u w:val="single"/>
    </w:rPr>
  </w:style>
  <w:style w:type="paragraph" w:styleId="NormalWeb">
    <w:name w:val="Normal (Web)"/>
    <w:basedOn w:val="Normal"/>
    <w:uiPriority w:val="99"/>
    <w:semiHidden/>
    <w:unhideWhenUsed/>
    <w:rsid w:val="001D75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05-2005-nd-cp-ban-dau-gia-tai-san-52766.aspx" TargetMode="External"/><Relationship Id="rId3" Type="http://schemas.openxmlformats.org/officeDocument/2006/relationships/webSettings" Target="webSettings.xml"/><Relationship Id="rId7" Type="http://schemas.openxmlformats.org/officeDocument/2006/relationships/hyperlink" Target="https://thuvienphapluat.vn/van-ban/thu-tuc-to-tung/nghi-dinh-17-2010-nd-cp-ban-dau-gia-tai-san-10198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nghi-dinh-05-2005-nd-cp-ban-dau-gia-tai-san-52766.aspx" TargetMode="External"/><Relationship Id="rId11" Type="http://schemas.openxmlformats.org/officeDocument/2006/relationships/theme" Target="theme/theme1.xml"/><Relationship Id="rId5" Type="http://schemas.openxmlformats.org/officeDocument/2006/relationships/hyperlink" Target="https://thuvienphapluat.vn/van-ban/thu-tuc-to-tung/nghi-dinh-17-2010-nd-cp-ban-dau-gia-tai-san-101985.aspx" TargetMode="External"/><Relationship Id="rId10" Type="http://schemas.openxmlformats.org/officeDocument/2006/relationships/fontTable" Target="fontTable.xml"/><Relationship Id="rId4" Type="http://schemas.openxmlformats.org/officeDocument/2006/relationships/hyperlink" Target="https://thuvienphapluat.vn/van-ban/thuong-mai/nghi-dinh-05-2005-nd-cp-ban-dau-gia-tai-san-52766.aspx" TargetMode="External"/><Relationship Id="rId9" Type="http://schemas.openxmlformats.org/officeDocument/2006/relationships/hyperlink" Target="https://thuvienphapluat.vn/van-ban/thu-tuc-to-tung/nghi-dinh-17-2010-nd-cp-ban-dau-gia-tai-san-1019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Thu Nga</dc:creator>
  <cp:keywords/>
  <dc:description/>
  <cp:lastModifiedBy>Vũ Thị Thu Nga</cp:lastModifiedBy>
  <cp:revision>3</cp:revision>
  <dcterms:created xsi:type="dcterms:W3CDTF">2025-06-27T01:57:00Z</dcterms:created>
  <dcterms:modified xsi:type="dcterms:W3CDTF">2025-06-27T02:13:00Z</dcterms:modified>
</cp:coreProperties>
</file>